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253</w:t>
      </w:r>
    </w:p>
    <w:p>
      <w:r>
        <w:t>Bundesgericht (BGE), 1998-05-14, DE</w:t>
      </w:r>
    </w:p>
    <w:p>
      <w:r>
        <w:rPr>
          <w:b/>
        </w:rPr>
        <w:t xml:space="preserve">Quelle: </w:t>
      </w:r>
      <w:r>
        <w:t>https://mcp.opencaselaw.ch/entscheid/bge_124 III 253</w:t>
      </w:r>
    </w:p>
    <w:p>
      <w:r>
        <w:t>FR: ATF 124 III 253</w:t>
      </w:r>
    </w:p>
    <w:p>
      <w:r>
        <w:t>IT: DTF 124 III 253</w:t>
      </w:r>
    </w:p>
    <w:p>
      <w:pPr>
        <w:pStyle w:val="Heading2"/>
      </w:pPr>
      <w:r>
        <w:t>Regeste</w:t>
      </w:r>
    </w:p>
    <w:p>
      <w:r>
        <w:t>Regeste Art. 66, 97, 466 ff. OR; mehrgliedrige Geldüberweisung; vertraglicher Anspruch der Erst- gegenüber der Empfängerbank auf weisungskonforme Erfüllung des Überweisungsauftrages. Die mehrgliedrige Geldüberweisung charakterisiert sich als eine an die Erstbank gerichtete Weisung des Überweisenden, die Empfängerbank zugunsten des Begünstigten anzuweisen. Im Verhältnis zu den einzelnen Grundgeschäften der am Zahlungsverkehr Beteiligten bleiben die Anweisungen abstrakt; der Angewiesene kann nach vorbehaltloser Annahme der Anweisung die Erfüllung nicht unter Hinweis auf Mängel aus dem Deckungs- oder Valutaverhältnis verweigern (E. 3b). Eine allfällige Sittenwidrigkeit des Valutaverhältnisses schlägt auf das Deckungsverhältnis zwischen Erst- und Empfängerbank nicht durch, weshalb dieser gegen den vertraglichen Erfüllungsanspruch der Erstbank die Einrede aus Art. 66 OR nicht offensteht (E. 3d).</w:t>
      </w:r>
    </w:p>
    <w:p>
      <w:pPr>
        <w:pStyle w:val="Heading2"/>
      </w:pPr>
      <w:r>
        <w:t>Erwägungen</w:t>
      </w:r>
    </w:p>
    <w:p>
      <w:r>
        <w:rPr>
          <w:b/>
        </w:rPr>
        <w:t>E. 2</w:t>
      </w:r>
    </w:p>
    <w:p>
      <w:r>
        <w:t>Die Vorinstanz hat offengelassen, ob nach dem Parteiwillen Pablo Reimpell oder der Nebenintervenient in den Genuss der Provisionen in Höhe von DM 2'750'000.-- kommen sollten. Sie qualifizierte die streitbetroffenen Provisionen als Schmiergeldzahlungen und hielt dafür, dass derartige Abreden jedenfalls sittenwidrig seien und im internationalen Verhältnis gegen den Ordre public verstiessen. Damit entfalle gemäss Art. 66 OR auch jeder Rückerstattungsanspruch der Klägerin, unbesehen darum, dass vorliegend nicht der Überweisungsbegünstigte, sondern die mit der Überweisung beauftragte Bank ins Recht gefasst werde. Entscheidend sei, dass der Leistende für seine unsittliche Absicht gemassregelt und ihm die Möglichkeit genommen werde, unsaubere Vermögensverschiebungen mittels staatlicher Hilfe rückgängig zu machen. Dass die Beklagte für eine etwaige Nichterfüllung ihres Überweisungsauftrages keinen Schadenersatz leisten müsse, sei demgegenüber hinzunehmen. Art. 66 OR sei als allgemeine Norm der Rechtsschutzversagung aufzufassen, die alle Ansprüche ausschliesse, welchen ein eigenes sittenwidriges Verhalten zugrundeliege. Mit ihrer Berufung rügt die Klägerin als Verletzung von Bundesrecht, dass die Vorinstanz nicht zwischen Valuta- und Deckungsverhältnis unterschieden und insofern verkannt habe, dass eine allfällige Nichtigkeit der Provisionsabrede mit Pablo Reimpell keinerlei Auswirkungen auf die Gültigkeit der Überweisungsaufträge an die Deutsche Bank AG und die Beklagte zeitigen könne. Da diese die Provisionen weisungswidrig dem Streitberufenen statt Pablo Reimpell überwiesen habe, stehe der Klägerin als Zessionarin der Deutschen Bank AG - bzw. gestützt auf Art. 399 Abs. 3 OR - ein vertraglicher Rückerstattungsanspruch gegen die Beklagte zu.</w:t>
      </w:r>
    </w:p>
    <w:p>
      <w:r>
        <w:rPr>
          <w:b/>
        </w:rPr>
        <w:t>E. 3</w:t>
      </w:r>
    </w:p>
    <w:p>
      <w:r>
        <w:t>a) Nach den verbindlichen Feststellungen der Vorinstanz wurde die Deutsche Bank AG von der Klägerin am 8. November 1990 und 11. Februar 1991 angewiesen, zugunsten von Pablo Reimpell auf das Konto Nr. 702808 bei der Beklagten DM 2'250'000.-- bzw. DM 500'000.-- zu überweisen. Die Deutsche Bank AG ihrerseits wies die Beklagte über das SWIFT-System an, diese Summen dem vorerwähnten Konto gutzuschreiben. b) Diese Art der Abwicklung des Zahlungsverkehrs mittels Kettenüberweisung ist in ein System mehrerer Grundverhältnisse eingebettet, wobei die Relativität der jeweiligen Rechtsbeziehungen zu beachten ist. So besteht zwischen dem Überweisenden und der BGE 124 III 253 S. 256 Erstbank ein Girovertrag, auf den die Bestimmungen über den Auftrag Anwendung finden. Weil die Absenderbank bei der Kettenüberweisung keine Kontoverbindung zum Begünstigten unterhält, kann sie nicht wie bei der Hausüberweisung dem Begünstigten die Annahme durch Gutschrift erklären. Das Verhältnis der Absenderbank zur Empfängerbank wird deshalb als zweite Anweisung qualifiziert, welche die Absenderbank als Anweisende der Empfängerbank als Angewiesener erteilt. Anweisungsempfänger bleibt wie bei der Hausüberweisung der Begünstigte. Die Annahme der ersten Anweisung des Überweisenden durch die Absenderbank erfolgt dabei nicht durch Erklärung an den Begünstigten, sondern mittels einer zweiten Anweisung, welche die Absender- der Empfängerbank erteilt. Die Überweisung charakterisiert sich somit als eine an die Erstbank gerichtete Weisung ( Art. 397 OR ), die Empfängerbank zugunsten des Begünstigten anzuweisen ( BGE 121 III 310 E. 3a; MARTIN HESS, Rechtliche Aspekte der Banküberweisung, SZW 3/91, S. 101 f., 103; zum internationalen Bankzahlungsverkehr: JACQUES BISCHOFF, Auslandszahlungsverkehr in der Schweiz, in: Rechtsprobleme der Auslandsüberweisung, Berlin 1992, S. 343 f., 346 und 347). Die - als einheitliches Rechtsgeschäft aufzufassende - mehrgliedrige Überweisung findet ihre Grundlage in selbständigen, auftragsrechtlichen Regeln folgenden Giroverträgen, in welchen sich die Banken verpflichten, für einen Kunden den bargeldlosen Zahlungsverkehr zu besorgen und dabei insbesondere Überweisungen auszuführen und entgegenzunehmen ( BGE 111 II 447 E. 1; HESS, a.a.O., S. 105; CANARIS, in: Grosskomm. HGB, 4. Aufl., Bankvertragsrecht, Erster Teil, Rz. 315). Von den einzelnen Grundgeschäften bleiben die Anweisungen unabhängig; das Zahlungsversprechen der Bank ist gegenüber dem Deckungs- und Valutaverhältnis grundsätzlich abstrakt (CANARIS, a.a.O., Rz. 397a S. 260; VON DER CRONE, Rechtliche Aspekte der direkten Zahlung mit elektronischer Überweisung [EFTPOS], Diss. Zürich 1988, S. 49). Entsprechend kann der Angewiesene, der dem Anweisungsempfänger die vorbehaltlose Annahme der Anweisung erklärt hat, ihm gegenüber die Erfüllung nicht verweigern, indem er sich auf Einwendungen und Mängel aus dem Verhältnis mit dem Anweisenden (Deckungsverhältnis) oder demjenigen zum Anweisungsempfänger (Valutaverhältnis) beruft ( BGE 121 III 109 E. 3a). Erlaubt sind dem Angewiesenen einzig die Einreden, welche sich aus dem persönlichen Verhältnis zum Anweisungsempfänger oder aus dem Inhalt der Anweisung ( Art. 468 Abs. 1 BGE 124 III 253 S. 257 OR ) ergeben ( BGE 105 II 104 E. 2; HESS, a.a.O., S. 104 mit Hinweisen; CANARIS, a.a.O., Rz. 397a S. 260). Dieses Ergebnis ist systemkonform und trägt dem Grundsatz der Relativität von Forderungsrechten Rechnung (hierzu: KRAMER, Berner Kommentar, Allg. Einleitung in das schweizerische OR, N. 44 f.). Der Funktionsschutz durch Ausschluss der überweisungsfremden Einreden trennt den mit der Annahme begründeten Anspruch nicht nur vom Deckungsverhältnis, sondern genauso vom Valutaverhältnis. Erweist sich der Transfer aus der Sicht des Valutaverhältnisses nachträglich als nicht gerechtfertigt, so ändert dies nichts an seiner Gültigkeit im Leistungsverhältnis. Vielmehr ist es Sache des Überweisenden und des Empfängers, nach den Regeln des zwischen ihnen bestehenden Vertrages oder allenfalls nach den Grundsätzen über den Ausgleich der ungerechtfertigten Bereicherung für Korrektur zu sorgen (VON DER CRONE, a.a.O., S. 69). c) Ob der Angewiesene zur Annahme der Anweisung verpflichtet ist, beurteilt sich aus dem Deckungsverhältnis (KOLLER, in: Kommentar zum Schweizerischen Privatrecht, 2. Aufl., N. 2 und 9 zu Art. 468 OR ). Auch hier gilt, dass die mit der Überweisung beauftragte Bank sich um die zugrundeliegenden Rechtsbeziehungen zwischen dem Auftraggeber und Begünstigtem grundsätzlich nicht zu kümmern braucht, zumal sie regelmässig keinen hinreichenden Einblick in die Absichten und Dispositionen des Auftraggebers hat (CANARIS, a.a.O., Rz. 327 und 429; SCHWINTOWSKI/SCHÄFER, Bankrecht, Köln/Berlin/Bonn/München 1997, S. 263 Rz. 95). Soweit der Auftraggeber allerdings erkennbar rechtswidrige oder unsittliche Weisungen erteilt, muss sie die Bank nicht befolgen (vgl. FELLMANN, Berner Kommentar, N. 97 zu Art. 397 OR ; HOFSTETTER, SPR VII/2, S. 79; vgl. auch BEAT KLEINER, Internationales Devisen-Schuldrecht, Zürich 1985, S. 125 f.). In diesem Zusammenhang sind etwa die Sorgfaltspflichtsvereinbarung der Schweizer Banken (Fassung vom 1. Oktober 1992) und das per 1. April 1998 in Kraft getretene Geldwäscherei-Gesetz (AS 1998 S. 892 f.) zu beachten, wo besondere Pflichten zur Identifikation des Bankkunden und des allenfalls hinter ihm stehenden wirtschaftlich Berechtigten an einer Geschäftsbeziehung statuiert werden. Die per 1. August 1990 in Kraft getretenen Strafbestimmungen zur Geldwäscherei ( Art. 305bis und 305ter StGB ) untermauern diese Sorgfaltspflichten zusätzlich strafrechtlich (EMCH/RENZ/BÖSCH, Das schweizerische Bankgeschäft, 4. Aufl., S. 85 f.; IMOGEN BILLOTTE-TONGUE, Aspects juridiques du virement bancaire, Diss. Genf, Zürich 1992, S. 48 f.). BGE 124 III 253 S. 258 Dass die Beklagte Kenntnis vom Verwendungszweck der zu überweisenden Gelder oder von den Verhandlungen der Klägerin mit den zuständigen venezolanischen Stellen im Zusammenhang mit dem Projekt "Olefinas II" hatte, geht aus den Feststellungen des Handelsgerichts nicht hervor. Nicht ersichtlich ist sodann, aus welchem anderen Grund sie eine allfällige Sittenwidrigkeit des Valutaverhältnisses hätte erkennen und gestützt darauf die geforderte Überweisung hätte verweigern können (vgl. CANARIS, a.a.O., Rz. 397a S. 260). Entscheidend bleibt aber, dass eine allenfalls sittenwidrige causa im Valutaverhältnis die Gültigkeit der von den Banken akzeptierten Überweisungsaufträge nicht tangiert und sie zur weisungskonformen Erfüllung dieser "abstrakten" Schuld verpflichtet bleiben. Zwar können die Banken unter Umständen die Überweisung unter Verweis auf eine offensichtliche Gesetzes- oder Sittenwidrigkeit des Valutaverhältnisses verweigern, ohne schadenersatzpflichtig zu werden. Akzeptieren sie aber den Überweisungsauftrag und führen sie ihn aus, muss dies vertrags- bzw. weisungskonform geschehen, andernfalls der Auftraggeber fordern kann, dass ihm der dafür belastete Betrag erneut gutgeschrieben oder die Überweisung entsprechend seiner Order vorgenommen wird (FELLMANN, a.a.O., N. 124 zu Art. 400 OR ; CANARIS, a.a.O., Rz. 347). d) Im Lichte dieser Grundsätze vermag eine allfällige Sittenwidrigkeit im Valutaverhältnis zwischen der Klägerin und Pablo Reimpell auf das Deckungsverhältnis nicht durchzuschlagen. Eine entsprechende Einrede der überweisenden Bank bleibt als exceptio de iure tertii wirkungslos. Die vom Handelsgericht vertretene Auffassung, wonach Art. 66 OR als "allgemeine Norm der Rechtsschutzversagung" aufzufassen ist, die jegliche Ansprüche "ausschliesst, denen ein eigenes sittenwidriges Verhalten zugrundeliegt", findet im Gesetz keine Stütze. Art. 66 OR vermag vertraglich begründeten Ansprüchen nicht zu derogieren. Andernfalls könnte eine mit der Überweisung beauftragte Bank, die aus irgendwelchen Quellen von einem sitten- oder rechtswidrigen Verwendungszweck des überwiesenen Geldes im Valutaverhältnis erfährt, dieses entschädigungslos einbehalten bzw. darauf verzichten, den dem Konto des Überweisenden belasteten Betrag trotz verweigerter Auftragserfüllung wieder gutzuschreiben. Ihrem Auftraggeber könnte sie Art. 66 OR entgegenhalten ( BGE 99 Ia 417 E. 3c), der Begünstigte hätte mangels Anweisungsakzepts ( Art. 468 Abs. 1 OR ) keinen Anspruch auf das Geld. Der Anwendungsbereich von Art. 66 OR ist somit auf das zufolge Rechts- oder Sittenwidrigkeit ungültige BGE 124 III 253 S. 259 Kausalverhältnis zwischen Anweisendem und Anweisungsempfänger beschränkt. Der Überweisende, dem - wie dargelegt (E. 3c hievor) - gegen den Angewiesenen aus weisungswidriger Auftragsausführung ein vertraglicher Anspruch auf Erstattung desjenigen zusteht, was dieser zur weisungsgemässen Ausführung erhalten hat, braucht nicht aus ungerechtfertigter Bereicherung zu klagen, weshalb ihm auch nicht Art. 66 OR entgegengehalten werden kann ( BGE 99 Ia 417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